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F155E" w:rsidRPr="005F155E" w:rsidRDefault="00C51947" w:rsidP="005F155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F155E">
        <w:rPr>
          <w:b/>
          <w:sz w:val="28"/>
          <w:szCs w:val="28"/>
        </w:rPr>
        <w:t>ФОРМЕ</w:t>
      </w:r>
      <w:r w:rsidRPr="005F155E">
        <w:rPr>
          <w:b/>
          <w:spacing w:val="-2"/>
          <w:sz w:val="28"/>
          <w:szCs w:val="28"/>
        </w:rPr>
        <w:t xml:space="preserve"> </w:t>
      </w:r>
      <w:r w:rsidR="005F155E" w:rsidRPr="005F155E">
        <w:rPr>
          <w:b/>
          <w:bCs/>
          <w:sz w:val="26"/>
          <w:szCs w:val="26"/>
        </w:rPr>
        <w:t>№</w:t>
      </w:r>
      <w:r w:rsidR="005F155E" w:rsidRPr="005F155E">
        <w:rPr>
          <w:b/>
          <w:bCs/>
          <w:sz w:val="28"/>
          <w:szCs w:val="28"/>
          <w:lang w:eastAsia="ru-RU"/>
        </w:rPr>
        <w:t xml:space="preserve"> </w:t>
      </w:r>
      <w:bookmarkStart w:id="0" w:name="_Hlk107415115"/>
      <w:bookmarkStart w:id="1" w:name="_Hlk107414987"/>
      <w:r w:rsidR="005F155E" w:rsidRPr="005F155E">
        <w:rPr>
          <w:b/>
          <w:bCs/>
          <w:sz w:val="28"/>
          <w:szCs w:val="28"/>
          <w:lang w:eastAsia="ru-RU"/>
        </w:rPr>
        <w:t>АЗГЭ-ДМ/22-20</w:t>
      </w:r>
      <w:bookmarkEnd w:id="0"/>
      <w:r w:rsidR="005F155E" w:rsidRPr="005F155E">
        <w:rPr>
          <w:b/>
          <w:bCs/>
          <w:sz w:val="28"/>
          <w:szCs w:val="28"/>
          <w:lang w:eastAsia="ru-RU"/>
        </w:rPr>
        <w:t xml:space="preserve">89 </w:t>
      </w:r>
    </w:p>
    <w:p w:rsidR="005F155E" w:rsidRPr="005F155E" w:rsidRDefault="005F155E" w:rsidP="005F155E">
      <w:pPr>
        <w:jc w:val="center"/>
        <w:rPr>
          <w:sz w:val="28"/>
          <w:szCs w:val="28"/>
          <w:lang w:eastAsia="ru-RU"/>
        </w:rPr>
      </w:pPr>
      <w:bookmarkStart w:id="2" w:name="_Hlk91582864"/>
      <w:r w:rsidRPr="005F155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5F155E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1"/>
    <w:bookmarkEnd w:id="2"/>
    <w:p w:rsidR="005F155E" w:rsidRDefault="005F155E" w:rsidP="005F155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F155E" w:rsidRDefault="005F155E" w:rsidP="005F155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F155E" w:rsidRDefault="005F155E" w:rsidP="005F155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F155E" w:rsidRDefault="005F155E" w:rsidP="005F155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5F155E" w:rsidRPr="00040B04" w:rsidRDefault="005F155E" w:rsidP="005F155E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5F155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5F155E" w:rsidRDefault="00C51947" w:rsidP="005F155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F155E" w:rsidRPr="005F155E">
        <w:rPr>
          <w:b/>
          <w:sz w:val="28"/>
          <w:szCs w:val="28"/>
          <w:lang w:eastAsia="ru-RU"/>
        </w:rPr>
        <w:t>00300060110672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5F155E" w:rsidRDefault="00C51947" w:rsidP="005F155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F155E" w:rsidRPr="005F155E">
        <w:rPr>
          <w:b/>
          <w:sz w:val="28"/>
          <w:szCs w:val="28"/>
          <w:lang w:eastAsia="ru-RU"/>
        </w:rPr>
        <w:t>06.07.2022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4969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B3496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4969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B3496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F155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F155E" w:rsidRPr="005F155E">
        <w:rPr>
          <w:sz w:val="26"/>
          <w:szCs w:val="26"/>
        </w:rPr>
        <w:t xml:space="preserve">№ АЗГЭ-ДМ/22-2089 </w:t>
      </w:r>
      <w:r w:rsidR="005F155E">
        <w:rPr>
          <w:sz w:val="26"/>
          <w:szCs w:val="26"/>
        </w:rPr>
        <w:br/>
      </w:r>
      <w:r w:rsidR="005F155E" w:rsidRPr="005F155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F155E">
        <w:rPr>
          <w:sz w:val="26"/>
          <w:szCs w:val="26"/>
        </w:rPr>
        <w:br/>
      </w:r>
      <w:r w:rsidR="005F155E" w:rsidRPr="005F155E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4969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B3496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4969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B3496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4969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B34969">
        <w:rPr>
          <w:sz w:val="26"/>
          <w:szCs w:val="26"/>
        </w:rPr>
        <w:t>11</w:t>
      </w:r>
      <w:bookmarkStart w:id="3" w:name="_GoBack"/>
      <w:bookmarkEnd w:id="3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55E"/>
    <w:rsid w:val="005F1D96"/>
    <w:rsid w:val="00791098"/>
    <w:rsid w:val="00B34969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35E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2023-09-22T07:50:00Z</cp:lastPrinted>
  <dcterms:created xsi:type="dcterms:W3CDTF">2023-04-13T09:32:00Z</dcterms:created>
  <dcterms:modified xsi:type="dcterms:W3CDTF">2023-09-22T07:50:00Z</dcterms:modified>
</cp:coreProperties>
</file>